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0028" w14:textId="5F13EF51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60691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6069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6432C175" w14:textId="74E0D3C3" w:rsidR="00682CA9" w:rsidRPr="00682CA9" w:rsidRDefault="00606918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千葉県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0A34802C" w14:textId="21374F3A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421D742D" w14:textId="0D8C9CF2" w:rsidR="004F5814" w:rsidRDefault="004F5814" w:rsidP="004F581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6069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B25DA39" w14:textId="230A4B86" w:rsidR="00682CA9" w:rsidRPr="00682CA9" w:rsidRDefault="004F5814" w:rsidP="00606918">
      <w:pPr>
        <w:spacing w:line="300" w:lineRule="auto"/>
        <w:ind w:firstLineChars="110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0691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u w:val="single"/>
          <w:fitText w:val="1680" w:id="-1665869312"/>
        </w:rPr>
        <w:t>医</w:t>
      </w:r>
      <w:r w:rsidR="00682CA9" w:rsidRPr="0060691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u w:val="single"/>
          <w:fitText w:val="1680" w:id="-1665869312"/>
        </w:rPr>
        <w:t>療機関</w:t>
      </w:r>
      <w:r w:rsidR="00682CA9" w:rsidRPr="0060691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40C1D6A8" w:rsidR="001D346A" w:rsidRPr="00682CA9" w:rsidRDefault="00606918" w:rsidP="001D346A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06918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050969600"/>
        </w:rPr>
        <w:t>代表</w:t>
      </w:r>
      <w:r w:rsidR="001D346A" w:rsidRPr="00606918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050969600"/>
        </w:rPr>
        <w:t>者</w:t>
      </w:r>
      <w:r w:rsidR="001D346A" w:rsidRPr="0060691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050969600"/>
        </w:rPr>
        <w:t>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7A975D1" w14:textId="29524C56" w:rsidR="00682CA9" w:rsidRDefault="00682CA9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7B19A532" w14:textId="77777777" w:rsidR="00682CA9" w:rsidRPr="007230F5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36F40C34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別紙１又は別紙２を添えて、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50D098BF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4B63E087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E48D7BC" w14:textId="77777777" w:rsidR="007A7442" w:rsidRPr="009E7139" w:rsidRDefault="007A7442" w:rsidP="00C1101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F9D1349" w14:textId="24F0D9A3" w:rsidR="00C11017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（予定）時期及び方法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7F48A5">
        <w:trPr>
          <w:trHeight w:val="980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0"/>
          </w:p>
        </w:tc>
        <w:tc>
          <w:tcPr>
            <w:tcW w:w="2032" w:type="dxa"/>
            <w:vAlign w:val="center"/>
          </w:tcPr>
          <w:p w14:paraId="312C58E5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14:paraId="1DFC02AA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tc>
          <w:tcPr>
            <w:tcW w:w="2032" w:type="dxa"/>
            <w:vAlign w:val="center"/>
          </w:tcPr>
          <w:p w14:paraId="3E9572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F08F1C" w14:textId="415385A4" w:rsidR="00AF3830" w:rsidRDefault="00ED78BC" w:rsidP="00C11017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F11894">
      <w:pPr>
        <w:spacing w:line="300" w:lineRule="auto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6E51F1">
      <w:pPr>
        <w:spacing w:line="300" w:lineRule="auto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8537B04" w14:textId="77777777" w:rsidR="00520EB4" w:rsidRDefault="006E51F1" w:rsidP="00341402">
      <w:pPr>
        <w:spacing w:line="300" w:lineRule="auto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p w14:paraId="4CCCED73" w14:textId="60C7CA0E" w:rsidR="00BE3094" w:rsidRDefault="00BE3094" w:rsidP="002B3251">
      <w:pPr>
        <w:spacing w:line="12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069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6CBE3967" w14:textId="45A81C07" w:rsidR="00BE3094" w:rsidRPr="00682CA9" w:rsidRDefault="00BE3094" w:rsidP="00606918">
      <w:pPr>
        <w:spacing w:line="120" w:lineRule="auto"/>
        <w:ind w:firstLineChars="110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0691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u w:val="single"/>
          <w:fitText w:val="1680" w:id="-1127463680"/>
        </w:rPr>
        <w:t>医療機関</w:t>
      </w:r>
      <w:r w:rsidRPr="0060691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80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BF05755" w14:textId="6D9596E3" w:rsidR="00177C5F" w:rsidRPr="002B3251" w:rsidRDefault="00606918" w:rsidP="002B3251">
      <w:pPr>
        <w:spacing w:line="12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06918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050968064"/>
        </w:rPr>
        <w:t>代表</w:t>
      </w:r>
      <w:r w:rsidR="00BE3094" w:rsidRPr="00606918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050968064"/>
        </w:rPr>
        <w:t>者</w:t>
      </w:r>
      <w:r w:rsidR="00BE3094" w:rsidRPr="0060691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050968064"/>
        </w:rPr>
        <w:t>名</w:t>
      </w:r>
      <w:r w:rsidR="00BE30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1C4DC5F2" w14:textId="77777777" w:rsidR="002B3251" w:rsidRDefault="002B3251" w:rsidP="002B325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64467E" w14:textId="59CF045F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10632" w:type="dxa"/>
        <w:tblInd w:w="-8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134"/>
        <w:gridCol w:w="2410"/>
      </w:tblGrid>
      <w:tr w:rsidR="009D69C3" w:rsidRPr="00564FCE" w14:paraId="39C83DFC" w14:textId="7D05239A" w:rsidTr="009D69C3">
        <w:trPr>
          <w:trHeight w:hRule="exact"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9D69C3" w:rsidRPr="009745A8" w:rsidRDefault="009D69C3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9D69C3" w:rsidRPr="009745A8" w:rsidRDefault="009D69C3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D69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チェック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4A2" w14:textId="3142F2BB" w:rsidR="009D69C3" w:rsidRPr="009D69C3" w:rsidRDefault="009D69C3" w:rsidP="001837D5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69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 w:rsidRPr="009D69C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6.2.1</w:t>
            </w:r>
            <w:r w:rsidR="003C4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時点</w:t>
            </w:r>
            <w:r w:rsidRPr="009D69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の看護補助者の常勤換算数</w:t>
            </w:r>
          </w:p>
        </w:tc>
      </w:tr>
      <w:tr w:rsidR="009D69C3" w:rsidRPr="00564FCE" w14:paraId="53D4453F" w14:textId="5FA57973" w:rsidTr="009D69C3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0AA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F5F" w14:textId="77777777" w:rsidR="009D69C3" w:rsidRPr="009D69C3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D69C3" w:rsidRPr="00564FCE" w14:paraId="450C7DEA" w14:textId="798D5D3E" w:rsidTr="009D69C3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46E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1CA5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4AB8F9E2" w14:textId="733AA900" w:rsidTr="009D69C3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BCC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4A5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6C472C83" w14:textId="39260A4B" w:rsidTr="009D69C3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2A4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BC9C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31A5425B" w14:textId="71016C95" w:rsidTr="009D69C3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808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E02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69B1D087" w14:textId="0FE7C290" w:rsidTr="009D69C3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043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E00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566AB4D4" w14:textId="642EBEF9" w:rsidTr="009D69C3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731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2A7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0679BD9F" w14:textId="5E46E598" w:rsidTr="009D69C3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C441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EBD5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5E4C7145" w14:textId="7C7E2EA1" w:rsidTr="009D69C3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24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80B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3315FF2C" w14:textId="339FD3B9" w:rsidTr="009D69C3">
        <w:trPr>
          <w:trHeight w:val="510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</w:tcPr>
          <w:p w14:paraId="158A1CC1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5AEF5C2F" w14:textId="6E7DC298" w:rsidTr="009D69C3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9D69C3" w:rsidRPr="009745A8" w:rsidRDefault="009D69C3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EEF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F410B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31E942D5" w14:textId="1D8F3EB5" w:rsidTr="009D69C3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9D69C3" w:rsidRPr="009745A8" w:rsidRDefault="009D69C3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43B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554F6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1549CFF9" w14:textId="1979257B" w:rsidTr="009D69C3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9D69C3" w:rsidRPr="009745A8" w:rsidRDefault="009D69C3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D83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976E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36DDED1D" w14:textId="20813632" w:rsidTr="00EF314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9D69C3" w:rsidRPr="009745A8" w:rsidRDefault="009D69C3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D8B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8F0D6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6A95AFA5" w14:textId="2A0BFEF6" w:rsidTr="00EF314E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9D69C3" w:rsidRPr="005C691B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010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E634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3247E816" w14:textId="39CC33A1" w:rsidTr="00EF314E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9E5800D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6A3DFD49" w14:textId="246E6763" w:rsidTr="009D69C3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9D69C3" w:rsidRPr="009745A8" w:rsidRDefault="009D69C3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754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113B0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6FEEEEEE" w14:textId="04DD0ECC" w:rsidTr="009D69C3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9D69C3" w:rsidRPr="009745A8" w:rsidRDefault="009D69C3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216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D6301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163DB721" w14:textId="5E1BEE5C" w:rsidTr="009D69C3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9D69C3" w:rsidRPr="009745A8" w:rsidRDefault="009D69C3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9D69C3" w:rsidRPr="009745A8" w:rsidRDefault="009D69C3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3D0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426D2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22891962" w14:textId="7EA2399A" w:rsidTr="009D69C3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9D69C3" w:rsidRPr="009745A8" w:rsidRDefault="009D69C3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554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B7C4" w14:textId="77777777" w:rsidR="009D69C3" w:rsidRPr="009745A8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69C3" w:rsidRPr="00564FCE" w14:paraId="01D11D4D" w14:textId="07FEA68F" w:rsidTr="009D69C3">
        <w:trPr>
          <w:trHeight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9D69C3" w:rsidRPr="009745A8" w:rsidRDefault="009D69C3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6C0" w14:textId="77777777" w:rsidR="009D69C3" w:rsidRPr="001C67AF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4872F2" w14:textId="77777777" w:rsidR="009D69C3" w:rsidRPr="001C67AF" w:rsidRDefault="009D69C3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285F" w14:textId="665E6D57" w:rsidR="00177C5F" w:rsidRDefault="003C47E2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14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581FD" wp14:editId="1C23A728">
                <wp:simplePos x="0" y="0"/>
                <wp:positionH relativeFrom="column">
                  <wp:posOffset>3566795</wp:posOffset>
                </wp:positionH>
                <wp:positionV relativeFrom="paragraph">
                  <wp:posOffset>187325</wp:posOffset>
                </wp:positionV>
                <wp:extent cx="2546350" cy="539750"/>
                <wp:effectExtent l="0" t="247650" r="25400" b="1270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539750"/>
                        </a:xfrm>
                        <a:prstGeom prst="wedgeRectCallout">
                          <a:avLst>
                            <a:gd name="adj1" fmla="val 20441"/>
                            <a:gd name="adj2" fmla="val -951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F0713" w14:textId="4BCFCD85" w:rsidR="003C47E2" w:rsidRDefault="003C47E2" w:rsidP="003C47E2">
                            <w:pPr>
                              <w:jc w:val="center"/>
                            </w:pPr>
                            <w:r w:rsidRPr="009D69C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</w:t>
                            </w:r>
                            <w:r w:rsidRPr="009D69C3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6.2.1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時点</w:t>
                            </w:r>
                            <w:r w:rsidRPr="009D69C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の看護補助者の常勤換算数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についても併せて回答してください。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9581F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80.85pt;margin-top:14.75pt;width:200.5pt;height:4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" adj="15215,-9752" filled="f" strokecolor="black [3213]" strokeweight="1pt">
                <v:textbox>
                  <w:txbxContent>
                    <w:p w14:paraId="202F0713" w14:textId="4BCFCD85" w:rsidR="003C47E2" w:rsidRDefault="003C47E2" w:rsidP="003C47E2">
                      <w:pPr>
                        <w:jc w:val="center"/>
                      </w:pPr>
                      <w:r w:rsidRPr="009D69C3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R</w:t>
                      </w:r>
                      <w:r w:rsidRPr="009D69C3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 w:val="20"/>
                          <w:szCs w:val="20"/>
                        </w:rPr>
                        <w:t>6.2.1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時点</w:t>
                      </w:r>
                      <w:r w:rsidRPr="009D69C3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の看護補助者の常勤換算数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についても併せて回答してください。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5E7BC5" w14:textId="77777777" w:rsidR="00BE3094" w:rsidRDefault="00BE3094" w:rsidP="00BE309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7BF227C" w14:textId="77777777" w:rsidR="00BE3094" w:rsidRPr="00682CA9" w:rsidRDefault="00BE3094" w:rsidP="00BE3094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4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9ADACC" w14:textId="77777777" w:rsidR="00BE3094" w:rsidRPr="00BE3094" w:rsidRDefault="00BE3094" w:rsidP="00BE3094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423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6CFF46C" w:rsidR="001D346A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p w14:paraId="32E0B551" w14:textId="7E20E7AC" w:rsidR="003C47E2" w:rsidRPr="003C47E2" w:rsidRDefault="003C47E2" w:rsidP="003C47E2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3C47E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令和６年２月１日時点の看護補助者の常勤換算数</w:t>
      </w:r>
      <w:r w:rsidR="001837D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に</w:t>
      </w:r>
      <w:r w:rsidRPr="003C47E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ついても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併せて</w:t>
      </w:r>
      <w:r w:rsidRPr="003C47E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回答してください。</w:t>
      </w:r>
    </w:p>
    <w:tbl>
      <w:tblPr>
        <w:tblW w:w="10774" w:type="dxa"/>
        <w:tblInd w:w="-8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6650"/>
        <w:gridCol w:w="1276"/>
        <w:gridCol w:w="2410"/>
      </w:tblGrid>
      <w:tr w:rsidR="003C47E2" w:rsidRPr="00564FCE" w14:paraId="600E30E3" w14:textId="3538025A" w:rsidTr="003C47E2">
        <w:trPr>
          <w:trHeight w:hRule="exact"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3C47E2" w:rsidRPr="009745A8" w:rsidRDefault="003C47E2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3C47E2" w:rsidRPr="009745A8" w:rsidRDefault="003C47E2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255" w14:textId="1ED06E8B" w:rsidR="003C47E2" w:rsidRPr="009745A8" w:rsidRDefault="003C47E2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D69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 w:rsidRPr="009D69C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6.2.1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時点</w:t>
            </w:r>
            <w:r w:rsidRPr="009D69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の看護補助者の常勤換算数</w:t>
            </w:r>
          </w:p>
        </w:tc>
      </w:tr>
      <w:tr w:rsidR="003C47E2" w:rsidRPr="00564FCE" w14:paraId="4D27C395" w14:textId="7D2F2656" w:rsidTr="003C47E2">
        <w:trPr>
          <w:trHeight w:hRule="exact" w:val="5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3C47E2" w:rsidRPr="009745A8" w:rsidRDefault="003C47E2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3C47E2" w:rsidRPr="009745A8" w:rsidRDefault="003C47E2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AD2" w14:textId="77777777" w:rsidR="003C47E2" w:rsidRPr="009745A8" w:rsidRDefault="003C47E2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C47E2" w:rsidRPr="00564FCE" w14:paraId="0C0E172B" w14:textId="3AE61B38" w:rsidTr="003C47E2">
        <w:trPr>
          <w:trHeight w:hRule="exact" w:val="656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3C47E2" w:rsidRPr="009745A8" w:rsidRDefault="003C47E2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3C47E2" w:rsidRPr="009745A8" w:rsidRDefault="003C47E2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8AEFE46" w14:textId="77777777" w:rsidR="003C47E2" w:rsidRPr="009745A8" w:rsidRDefault="003C47E2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C47E2" w:rsidRPr="00564FCE" w14:paraId="376DA246" w14:textId="5C5D8F7B" w:rsidTr="003C47E2">
        <w:trPr>
          <w:trHeight w:hRule="exact" w:val="51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3C47E2" w:rsidRPr="009745A8" w:rsidRDefault="003C47E2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3C47E2" w:rsidRPr="009745A8" w:rsidRDefault="003C47E2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3C47E2" w:rsidRPr="009745A8" w:rsidRDefault="003C47E2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6498A" w14:textId="77777777" w:rsidR="003C47E2" w:rsidRPr="009745A8" w:rsidRDefault="003C47E2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C47E2" w:rsidRPr="00564FCE" w14:paraId="58B787D4" w14:textId="654FDD2A" w:rsidTr="003C47E2">
        <w:trPr>
          <w:trHeight w:hRule="exact" w:val="51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3C47E2" w:rsidRPr="009745A8" w:rsidRDefault="003C47E2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3C47E2" w:rsidRPr="009745A8" w:rsidRDefault="003C47E2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3C47E2" w:rsidRPr="009745A8" w:rsidRDefault="003C47E2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3E490A4" w14:textId="77777777" w:rsidR="003C47E2" w:rsidRPr="009745A8" w:rsidRDefault="003C47E2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6D573D1A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D17" w14:textId="77777777" w:rsidR="005C2638" w:rsidRDefault="005C2638" w:rsidP="00B51770">
      <w:r>
        <w:separator/>
      </w:r>
    </w:p>
  </w:endnote>
  <w:endnote w:type="continuationSeparator" w:id="0">
    <w:p w14:paraId="34F961DA" w14:textId="77777777" w:rsidR="005C2638" w:rsidRDefault="005C2638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19BB" w14:textId="77777777" w:rsidR="004B3D8F" w:rsidRDefault="004B3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7049" w14:textId="77777777" w:rsidR="004B3D8F" w:rsidRDefault="004B3D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592E" w14:textId="77777777" w:rsidR="004B3D8F" w:rsidRDefault="004B3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2182" w14:textId="77777777" w:rsidR="005C2638" w:rsidRDefault="005C2638" w:rsidP="00B51770">
      <w:r>
        <w:separator/>
      </w:r>
    </w:p>
  </w:footnote>
  <w:footnote w:type="continuationSeparator" w:id="0">
    <w:p w14:paraId="1F2D368A" w14:textId="77777777" w:rsidR="005C2638" w:rsidRDefault="005C2638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BA4" w14:textId="77777777" w:rsidR="004B3D8F" w:rsidRDefault="004B3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7A36" w14:textId="77777777" w:rsidR="004B3D8F" w:rsidRDefault="004B3D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345832">
    <w:abstractNumId w:val="2"/>
  </w:num>
  <w:num w:numId="2" w16cid:durableId="153034295">
    <w:abstractNumId w:val="1"/>
  </w:num>
  <w:num w:numId="3" w16cid:durableId="161011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16350"/>
    <w:rsid w:val="0004203D"/>
    <w:rsid w:val="001712E6"/>
    <w:rsid w:val="00177C5F"/>
    <w:rsid w:val="001837D5"/>
    <w:rsid w:val="001B19E1"/>
    <w:rsid w:val="001C1785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62756"/>
    <w:rsid w:val="0039344D"/>
    <w:rsid w:val="00394339"/>
    <w:rsid w:val="003C47E2"/>
    <w:rsid w:val="004458E8"/>
    <w:rsid w:val="00483620"/>
    <w:rsid w:val="004B3D8F"/>
    <w:rsid w:val="004C42FB"/>
    <w:rsid w:val="004F5814"/>
    <w:rsid w:val="00520EB4"/>
    <w:rsid w:val="00535813"/>
    <w:rsid w:val="0054239C"/>
    <w:rsid w:val="00564FCE"/>
    <w:rsid w:val="00583A81"/>
    <w:rsid w:val="005B68BE"/>
    <w:rsid w:val="005C2638"/>
    <w:rsid w:val="005C691B"/>
    <w:rsid w:val="005C7948"/>
    <w:rsid w:val="00606918"/>
    <w:rsid w:val="00653F93"/>
    <w:rsid w:val="00682CA9"/>
    <w:rsid w:val="006E51F1"/>
    <w:rsid w:val="007223E3"/>
    <w:rsid w:val="007230F5"/>
    <w:rsid w:val="00723C77"/>
    <w:rsid w:val="00736646"/>
    <w:rsid w:val="0077771A"/>
    <w:rsid w:val="007A7442"/>
    <w:rsid w:val="007B2D8D"/>
    <w:rsid w:val="007F48A5"/>
    <w:rsid w:val="00853F97"/>
    <w:rsid w:val="0086547C"/>
    <w:rsid w:val="00890B61"/>
    <w:rsid w:val="00895954"/>
    <w:rsid w:val="008B676C"/>
    <w:rsid w:val="009745A8"/>
    <w:rsid w:val="009D69C3"/>
    <w:rsid w:val="009E7139"/>
    <w:rsid w:val="00A82EBE"/>
    <w:rsid w:val="00AF3830"/>
    <w:rsid w:val="00B51770"/>
    <w:rsid w:val="00BE3094"/>
    <w:rsid w:val="00BE6E63"/>
    <w:rsid w:val="00C11017"/>
    <w:rsid w:val="00CA7052"/>
    <w:rsid w:val="00CB28E6"/>
    <w:rsid w:val="00CE0733"/>
    <w:rsid w:val="00CE5F33"/>
    <w:rsid w:val="00D645EA"/>
    <w:rsid w:val="00D91604"/>
    <w:rsid w:val="00DF76FD"/>
    <w:rsid w:val="00E11D19"/>
    <w:rsid w:val="00E11DED"/>
    <w:rsid w:val="00EB7E27"/>
    <w:rsid w:val="00EC49EE"/>
    <w:rsid w:val="00ED78BC"/>
    <w:rsid w:val="00EF314E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4970-1346-4155-A02E-AF0DBFE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木場 智美</cp:lastModifiedBy>
  <cp:revision>48</cp:revision>
  <cp:lastPrinted>2023-12-22T04:49:00Z</cp:lastPrinted>
  <dcterms:created xsi:type="dcterms:W3CDTF">2021-12-22T10:19:00Z</dcterms:created>
  <dcterms:modified xsi:type="dcterms:W3CDTF">2024-01-23T01:01:00Z</dcterms:modified>
</cp:coreProperties>
</file>